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CD20" w14:textId="10261CAF" w:rsidR="00C547C6" w:rsidRDefault="00C547C6" w:rsidP="00C547C6">
      <w:pPr>
        <w:spacing w:before="240"/>
        <w:jc w:val="center"/>
      </w:pPr>
      <w:r>
        <w:t>… AĞIR CEZA MAHKEMESİ BAŞKANLIĞI’NA;</w:t>
      </w:r>
    </w:p>
    <w:p w14:paraId="561D0D9B" w14:textId="77777777" w:rsidR="00C547C6" w:rsidRDefault="00C547C6" w:rsidP="00C547C6">
      <w:pPr>
        <w:spacing w:before="240"/>
        <w:jc w:val="both"/>
      </w:pPr>
    </w:p>
    <w:p w14:paraId="339FCA00" w14:textId="77777777" w:rsidR="00C547C6" w:rsidRDefault="00C547C6" w:rsidP="00C547C6">
      <w:pPr>
        <w:spacing w:before="240"/>
        <w:jc w:val="both"/>
      </w:pPr>
      <w:r>
        <w:t>İTİRAZ EDEN MÜDAHİL</w:t>
      </w:r>
      <w:r>
        <w:tab/>
      </w:r>
      <w:r>
        <w:tab/>
        <w:t xml:space="preserve">: </w:t>
      </w:r>
    </w:p>
    <w:p w14:paraId="141541E9" w14:textId="77777777" w:rsidR="00C547C6" w:rsidRDefault="00C547C6" w:rsidP="00C547C6">
      <w:pPr>
        <w:spacing w:before="240"/>
        <w:jc w:val="both"/>
      </w:pPr>
    </w:p>
    <w:p w14:paraId="0E8E4E4E" w14:textId="77777777" w:rsidR="00C547C6" w:rsidRDefault="00C547C6" w:rsidP="00C547C6">
      <w:pPr>
        <w:spacing w:before="240"/>
        <w:jc w:val="both"/>
      </w:pPr>
      <w:r>
        <w:t>VEKİLİ</w:t>
      </w:r>
      <w:r>
        <w:tab/>
      </w:r>
      <w:r>
        <w:tab/>
      </w:r>
      <w:r>
        <w:tab/>
      </w:r>
      <w:r>
        <w:tab/>
        <w:t xml:space="preserve">: </w:t>
      </w:r>
    </w:p>
    <w:p w14:paraId="045EC4D5" w14:textId="77777777" w:rsidR="00C547C6" w:rsidRDefault="00C547C6" w:rsidP="00C547C6">
      <w:pPr>
        <w:spacing w:before="240"/>
        <w:jc w:val="both"/>
      </w:pPr>
    </w:p>
    <w:p w14:paraId="42B1BF39" w14:textId="63F2D433" w:rsidR="00C547C6" w:rsidRDefault="00C547C6" w:rsidP="00C547C6">
      <w:pPr>
        <w:spacing w:before="240"/>
        <w:jc w:val="both"/>
      </w:pPr>
      <w:r>
        <w:t>İTİRAZA KONU KARAR</w:t>
      </w:r>
      <w:r>
        <w:tab/>
      </w:r>
      <w:r>
        <w:tab/>
      </w:r>
      <w:r>
        <w:t>: … Ceza Mahkemesi’nin …/…/… tarihli, …/… Esas ve …/… Karar sayılı kararı.</w:t>
      </w:r>
    </w:p>
    <w:p w14:paraId="3801CF1D" w14:textId="77777777" w:rsidR="00C547C6" w:rsidRDefault="00C547C6" w:rsidP="00C547C6">
      <w:pPr>
        <w:spacing w:before="240"/>
        <w:jc w:val="both"/>
      </w:pPr>
    </w:p>
    <w:p w14:paraId="38736A78" w14:textId="4DFC6CF1" w:rsidR="00C547C6" w:rsidRDefault="00C547C6" w:rsidP="00C547C6">
      <w:pPr>
        <w:spacing w:before="240"/>
        <w:jc w:val="both"/>
      </w:pPr>
      <w:r>
        <w:t>KONU</w:t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:  … Ceza Mahkemesi’nin …/…/… tarihinde sanık … … </w:t>
      </w:r>
      <w:r>
        <w:t>hakkında</w:t>
      </w:r>
      <w:r>
        <w:t xml:space="preserve"> vermiş olduğu …/… Esas ve …/… Karar sayılı Hükmün Açıklanmasının Geri Bırakılması Kararına itirazlarımızdan ibarettir.</w:t>
      </w:r>
    </w:p>
    <w:p w14:paraId="3EC85CC1" w14:textId="77777777" w:rsidR="00C547C6" w:rsidRDefault="00C547C6" w:rsidP="00C547C6">
      <w:pPr>
        <w:spacing w:before="240"/>
        <w:jc w:val="both"/>
      </w:pPr>
    </w:p>
    <w:p w14:paraId="279B25D1" w14:textId="77777777" w:rsidR="00C547C6" w:rsidRDefault="00C547C6" w:rsidP="00C547C6">
      <w:pPr>
        <w:spacing w:before="240"/>
        <w:jc w:val="both"/>
      </w:pPr>
      <w:r>
        <w:t>AÇIKLAMALAR</w:t>
      </w:r>
      <w:r>
        <w:tab/>
      </w:r>
      <w:r>
        <w:tab/>
      </w:r>
      <w:r>
        <w:tab/>
        <w:t xml:space="preserve">: </w:t>
      </w:r>
    </w:p>
    <w:p w14:paraId="06068444" w14:textId="77777777" w:rsidR="00C547C6" w:rsidRDefault="00C547C6" w:rsidP="00C547C6">
      <w:pPr>
        <w:spacing w:before="240"/>
        <w:jc w:val="both"/>
      </w:pPr>
    </w:p>
    <w:p w14:paraId="430CE72A" w14:textId="492BE237" w:rsidR="00C547C6" w:rsidRDefault="00C547C6" w:rsidP="00C547C6">
      <w:pPr>
        <w:spacing w:before="240"/>
        <w:jc w:val="both"/>
      </w:pPr>
      <w:r>
        <w:t xml:space="preserve">1-) … Ceza Mahkemesi’nin… suçundan yapılan yargılama </w:t>
      </w:r>
      <w:r>
        <w:t>neticesinde</w:t>
      </w:r>
      <w:r>
        <w:t xml:space="preserve"> …/…/… tarihinde sanık … … aleyhine vermiş olduğu hükmün açıklanmasının geri bırakılması kararı </w:t>
      </w:r>
      <w:r>
        <w:t>kanuni düzenlemelere</w:t>
      </w:r>
      <w:r>
        <w:t xml:space="preserve"> ve hukuka </w:t>
      </w:r>
      <w:r>
        <w:t>aykırılık teşkil etmektedir</w:t>
      </w:r>
      <w:r>
        <w:t>. Şöyle ki;</w:t>
      </w:r>
    </w:p>
    <w:p w14:paraId="610D1484" w14:textId="77777777" w:rsidR="00C547C6" w:rsidRDefault="00C547C6" w:rsidP="00C547C6">
      <w:pPr>
        <w:spacing w:before="240"/>
        <w:jc w:val="both"/>
      </w:pPr>
    </w:p>
    <w:p w14:paraId="4DD8F920" w14:textId="46D43788" w:rsidR="00C547C6" w:rsidRDefault="00C547C6" w:rsidP="00C547C6">
      <w:pPr>
        <w:spacing w:before="240"/>
        <w:jc w:val="both"/>
      </w:pPr>
      <w:r>
        <w:t xml:space="preserve">2-) 5271 sayılı Ceza Muhakemesi Kanunu’nun 231. maddesi hükmüne göre hükmün açıklanmasının geri bırakılmasına karar verilebilmesi için; </w:t>
      </w:r>
      <w:r>
        <w:t>hükmedilen</w:t>
      </w:r>
      <w:r>
        <w:t xml:space="preserve"> cezanın iki yıl veya daha az süreli hapis veya adlî para cezası olması, sanığın daha önce </w:t>
      </w:r>
      <w:r>
        <w:t>kasten işlenmiş bir suç sebebiyle</w:t>
      </w:r>
      <w:r>
        <w:t xml:space="preserve"> mahkûm </w:t>
      </w:r>
      <w:r>
        <w:t>edilmemiş olması</w:t>
      </w:r>
      <w:r>
        <w:t xml:space="preserve">, </w:t>
      </w:r>
      <w:r>
        <w:t>mahkeme tarafından</w:t>
      </w:r>
      <w:r>
        <w:t xml:space="preserve">, sanığın </w:t>
      </w:r>
      <w:r>
        <w:t>şahsi özellikleri</w:t>
      </w:r>
      <w:r>
        <w:t xml:space="preserve"> ile duruşmadaki tutum ve davranışları</w:t>
      </w:r>
      <w:r>
        <w:t xml:space="preserve"> dikkate alınarak tekrar </w:t>
      </w:r>
      <w:proofErr w:type="spellStart"/>
      <w:r>
        <w:t>suç iş</w:t>
      </w:r>
      <w:proofErr w:type="spellEnd"/>
      <w:r>
        <w:t xml:space="preserve">lemeyeceği hususunda kanaate varılması ve suçun işlenmesiyle mağdurun veya kamunun uğradığı zararın, aynen iade, suçtan önceki hale getirme veya tazmin suretiyle tamamen giderilmesi gerekmektedir. </w:t>
      </w:r>
      <w:r>
        <w:t>Görüleceği üzere</w:t>
      </w:r>
      <w:r>
        <w:t xml:space="preserve"> sanık hakkında verilen hükmün açıklanmasının geri bırakılmasına karar verilebilmesi için </w:t>
      </w:r>
      <w:r>
        <w:t>işbu dört şartın bir arada karşılanması</w:t>
      </w:r>
      <w:r>
        <w:t xml:space="preserve"> ve mahkemece bu dört </w:t>
      </w:r>
      <w:r>
        <w:t>şart</w:t>
      </w:r>
      <w:r>
        <w:t xml:space="preserve"> </w:t>
      </w:r>
      <w:r>
        <w:t>bakımından</w:t>
      </w:r>
      <w:r>
        <w:t xml:space="preserve"> da değerlendirme yapılarak kanaat oluşturulması </w:t>
      </w:r>
      <w:r>
        <w:t>mecburiyeti söz konusudur</w:t>
      </w:r>
      <w:r>
        <w:t>.</w:t>
      </w:r>
    </w:p>
    <w:p w14:paraId="17DA0D0E" w14:textId="77777777" w:rsidR="00C547C6" w:rsidRDefault="00C547C6" w:rsidP="00C547C6">
      <w:pPr>
        <w:spacing w:before="240"/>
        <w:jc w:val="both"/>
      </w:pPr>
    </w:p>
    <w:p w14:paraId="2333900E" w14:textId="6D2514FB" w:rsidR="00C547C6" w:rsidRDefault="00C547C6" w:rsidP="00C547C6">
      <w:pPr>
        <w:spacing w:before="240"/>
        <w:jc w:val="both"/>
      </w:pPr>
      <w:r>
        <w:t xml:space="preserve">3-) </w:t>
      </w:r>
      <w:r>
        <w:t>Hükmedilen</w:t>
      </w:r>
      <w:r>
        <w:t xml:space="preserve"> cezanın … ay olması ve sanık … … </w:t>
      </w:r>
      <w:r>
        <w:t>geçmişte</w:t>
      </w:r>
      <w:r>
        <w:t xml:space="preserve"> </w:t>
      </w:r>
      <w:r>
        <w:t>kasten işlenmiş bir suç sebebiyle mahkum</w:t>
      </w:r>
      <w:r>
        <w:t xml:space="preserve"> olmamış bulunmakla </w:t>
      </w:r>
      <w:r>
        <w:t>beraber</w:t>
      </w:r>
      <w:r>
        <w:t xml:space="preserve"> sanığın </w:t>
      </w:r>
      <w:r>
        <w:t>şahsi</w:t>
      </w:r>
      <w:r>
        <w:t xml:space="preserve"> özellikleri ile duruşmadaki tutum ve davranışları </w:t>
      </w:r>
      <w:r>
        <w:t>dikkate alınarak tekrar</w:t>
      </w:r>
      <w:r>
        <w:t xml:space="preserve"> suç işlemeyeceği hususunda kanaate varılıp varılmadığı ve suçun işlenmesiyle müvekkilimizin uğradığı zararın tazmin edilip edilmediği hususlarında mahkemece bir değerlendirme yapılmamış, hükümde de </w:t>
      </w:r>
      <w:r>
        <w:t>kanunun</w:t>
      </w:r>
      <w:r>
        <w:t xml:space="preserve"> aradığı bu </w:t>
      </w:r>
      <w:r>
        <w:t>koşullar bakımından</w:t>
      </w:r>
      <w:r>
        <w:t xml:space="preserve"> herhangi bir gerekçe ortaya konmamıştır.</w:t>
      </w:r>
    </w:p>
    <w:p w14:paraId="0C2A24E2" w14:textId="77777777" w:rsidR="00C547C6" w:rsidRDefault="00C547C6" w:rsidP="00C547C6">
      <w:pPr>
        <w:spacing w:before="240"/>
        <w:jc w:val="both"/>
      </w:pPr>
    </w:p>
    <w:p w14:paraId="69F333CC" w14:textId="418EA009" w:rsidR="00C547C6" w:rsidRDefault="00C547C6" w:rsidP="00C547C6">
      <w:pPr>
        <w:spacing w:before="240"/>
        <w:jc w:val="both"/>
      </w:pPr>
      <w:r>
        <w:lastRenderedPageBreak/>
        <w:t xml:space="preserve">4-) Sanık … …, yargılama </w:t>
      </w:r>
      <w:r>
        <w:t>süresince</w:t>
      </w:r>
      <w:r>
        <w:t xml:space="preserve"> .../…/… tarihli duruşmada müvekkilimize karşı tehditkar ifadelerde </w:t>
      </w:r>
      <w:r>
        <w:t>sarf etmiş</w:t>
      </w:r>
      <w:r>
        <w:t xml:space="preserve"> ve bu durum ısrarlarımız </w:t>
      </w:r>
      <w:r>
        <w:t>neticesinde</w:t>
      </w:r>
      <w:r>
        <w:t xml:space="preserve"> duruşma tutanaklarına geçirilmiştir. Sonraki duruşmalarda da sanığın rahatsız edici davranışları devam etmekle </w:t>
      </w:r>
      <w:r>
        <w:t>beraber</w:t>
      </w:r>
      <w:r>
        <w:t xml:space="preserve"> bunları duruşma tutanaklarına geçirmemiz mümkün olmamıştır. Bu gerçeğin tespiti için </w:t>
      </w:r>
      <w:r>
        <w:t>lüzumu halinde</w:t>
      </w:r>
      <w:r>
        <w:t xml:space="preserve"> duruşmayı izleyenlerden … … ve … … isimli şahıslar da dinlenebilir. </w:t>
      </w:r>
      <w:r>
        <w:t>Vaziyet ortadayken</w:t>
      </w:r>
      <w:r>
        <w:t xml:space="preserve"> sayın mahkeme sanığın bu tutumlarını değerlendirme konusu yapmamış, gerekçeli kararda </w:t>
      </w:r>
      <w:r>
        <w:t>kanunun</w:t>
      </w:r>
      <w:r>
        <w:t xml:space="preserve"> aradığı “sanığın yeniden suç işlemeyeceği hususunda kanaate varılması” </w:t>
      </w:r>
      <w:r>
        <w:t xml:space="preserve">koşulu hususunda herhangi bir </w:t>
      </w:r>
      <w:r>
        <w:t xml:space="preserve">değerlendirme yapılmamıştır. Bu durum kanunun 232. maddesi hükmüne de </w:t>
      </w:r>
      <w:r>
        <w:t>muhaliftir</w:t>
      </w:r>
      <w:r>
        <w:t>.</w:t>
      </w:r>
    </w:p>
    <w:p w14:paraId="321710EC" w14:textId="77777777" w:rsidR="00C547C6" w:rsidRDefault="00C547C6" w:rsidP="00C547C6">
      <w:pPr>
        <w:spacing w:before="240"/>
        <w:jc w:val="both"/>
      </w:pPr>
    </w:p>
    <w:p w14:paraId="39F0F238" w14:textId="70790EA9" w:rsidR="00C547C6" w:rsidRDefault="00C547C6" w:rsidP="00C547C6">
      <w:pPr>
        <w:spacing w:before="240"/>
        <w:jc w:val="both"/>
      </w:pPr>
      <w:r>
        <w:t>HUKUKİ NEDENLER</w:t>
      </w:r>
      <w:r>
        <w:tab/>
      </w:r>
      <w:r>
        <w:tab/>
        <w:t xml:space="preserve">: 5271 </w:t>
      </w:r>
      <w:r>
        <w:t xml:space="preserve">Sayılı Ceza Muhakemesi Kanunu </w:t>
      </w:r>
      <w:r>
        <w:t>m. 231, 232.</w:t>
      </w:r>
    </w:p>
    <w:p w14:paraId="6B8928EE" w14:textId="77777777" w:rsidR="00C547C6" w:rsidRDefault="00C547C6" w:rsidP="00C547C6">
      <w:pPr>
        <w:spacing w:before="240"/>
        <w:jc w:val="both"/>
      </w:pPr>
    </w:p>
    <w:p w14:paraId="07F42375" w14:textId="59ACC3A3" w:rsidR="00C547C6" w:rsidRDefault="00C547C6" w:rsidP="00C547C6">
      <w:pPr>
        <w:spacing w:before="240"/>
        <w:jc w:val="both"/>
      </w:pPr>
      <w:r>
        <w:t>TALEP NETİCESİ</w:t>
      </w:r>
      <w:r>
        <w:tab/>
      </w:r>
      <w:r>
        <w:tab/>
        <w:t xml:space="preserve">: Yukarıda </w:t>
      </w:r>
      <w:r>
        <w:t>arz ve izah olunan sebeplerle</w:t>
      </w:r>
      <w:r>
        <w:t xml:space="preserve">, … Ceza  Mahkemesi’ </w:t>
      </w:r>
      <w:proofErr w:type="spellStart"/>
      <w:r>
        <w:t>nin</w:t>
      </w:r>
      <w:proofErr w:type="spellEnd"/>
      <w:r>
        <w:t xml:space="preserve"> vermiş olduğu hükmün </w:t>
      </w:r>
      <w:r>
        <w:t>tekrar incelenmek suretiyle</w:t>
      </w:r>
      <w:r>
        <w:t xml:space="preserve"> sanık … … hakkında … suçundan verilen hükmün açıklanmasının geri bırakılması kararının kaldırılmasına ve açıklamalar bölümünde </w:t>
      </w:r>
      <w:r>
        <w:t>bahis konusu edilen</w:t>
      </w:r>
      <w:r>
        <w:t xml:space="preserve"> nedenlerle “hükmün açıklanmasının geri bırakılmasına yer olmadığına” ve sanık hakkında verilen … ay mahkumiyet hükmünün açıklanmasına karar verilmesini </w:t>
      </w:r>
      <w:proofErr w:type="spellStart"/>
      <w:r>
        <w:t>bilvekale</w:t>
      </w:r>
      <w:proofErr w:type="spellEnd"/>
      <w:r>
        <w:t xml:space="preserve"> </w:t>
      </w:r>
      <w:proofErr w:type="spellStart"/>
      <w:r>
        <w:t>itirazen</w:t>
      </w:r>
      <w:proofErr w:type="spellEnd"/>
      <w:r>
        <w:t xml:space="preserve"> arz ve talep ederiz. …/ …/ …</w:t>
      </w:r>
    </w:p>
    <w:p w14:paraId="3C00EFAF" w14:textId="77777777" w:rsidR="00C547C6" w:rsidRDefault="00C547C6" w:rsidP="00C547C6">
      <w:pPr>
        <w:spacing w:before="240"/>
        <w:jc w:val="both"/>
      </w:pPr>
    </w:p>
    <w:p w14:paraId="0AF7DE8D" w14:textId="77777777" w:rsidR="00C547C6" w:rsidRDefault="00C547C6" w:rsidP="00C547C6">
      <w:pPr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Müdahil ……. Vekili</w:t>
      </w:r>
    </w:p>
    <w:p w14:paraId="6E907002" w14:textId="37C94995" w:rsidR="00C547C6" w:rsidRDefault="00C547C6" w:rsidP="00C547C6">
      <w:pPr>
        <w:spacing w:before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Av.</w:t>
      </w:r>
    </w:p>
    <w:sectPr w:rsidR="00C5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CS Gövde)">
    <w:altName w:val="Times New Roman"/>
    <w:panose1 w:val="020B0604020202020204"/>
    <w:charset w:val="00"/>
    <w:family w:val="roman"/>
    <w:pitch w:val="default"/>
  </w:font>
  <w:font w:name="Times New Roman (CS Başlıklar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C6"/>
    <w:rsid w:val="000B4C20"/>
    <w:rsid w:val="001B0947"/>
    <w:rsid w:val="002C441C"/>
    <w:rsid w:val="002C6D27"/>
    <w:rsid w:val="009E4430"/>
    <w:rsid w:val="00AA4BCB"/>
    <w:rsid w:val="00C5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1EE427"/>
  <w15:chartTrackingRefBased/>
  <w15:docId w15:val="{B772C7A3-D9F9-A14B-8076-C7B27AB2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1C"/>
    <w:pPr>
      <w:spacing w:before="0" w:after="160"/>
    </w:pPr>
    <w:rPr>
      <w:rFonts w:ascii="Helvetica Neue" w:hAnsi="Helvetica Neue" w:cs="Times New Roman (CS Gövde)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C441C"/>
    <w:pPr>
      <w:keepNext/>
      <w:keepLines/>
      <w:spacing w:before="240" w:after="120"/>
      <w:contextualSpacing/>
      <w:outlineLvl w:val="0"/>
    </w:pPr>
    <w:rPr>
      <w:rFonts w:eastAsiaTheme="majorEastAsia" w:cs="Times New Roman (CS Başlıklar)"/>
      <w:b/>
      <w:color w:val="000000" w:themeColor="text1"/>
      <w:sz w:val="30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1"/>
    </w:pPr>
    <w:rPr>
      <w:rFonts w:eastAsiaTheme="majorEastAsia" w:cs="Times New Roman (CS Başlıklar)"/>
      <w:b/>
      <w:bCs/>
      <w:color w:val="000000" w:themeColor="text1"/>
      <w:sz w:val="26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2"/>
    </w:pPr>
    <w:rPr>
      <w:rFonts w:eastAsiaTheme="majorEastAsia" w:cstheme="majorBidi"/>
      <w:b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2C441C"/>
    <w:pPr>
      <w:keepNext/>
      <w:keepLines/>
      <w:spacing w:before="40" w:after="120"/>
      <w:contextualSpacing/>
      <w:outlineLvl w:val="3"/>
    </w:pPr>
    <w:rPr>
      <w:rFonts w:eastAsiaTheme="majorEastAsia" w:cstheme="majorBidi"/>
      <w:b/>
      <w:i/>
      <w:iCs/>
      <w:color w:val="000000" w:themeColor="text1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C441C"/>
    <w:rPr>
      <w:rFonts w:ascii="Helvetica Neue" w:eastAsiaTheme="majorEastAsia" w:hAnsi="Helvetica Neue" w:cs="Times New Roman (CS Başlıklar)"/>
      <w:b/>
      <w:color w:val="000000" w:themeColor="text1"/>
      <w:sz w:val="30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C441C"/>
    <w:rPr>
      <w:rFonts w:ascii="Helvetica Neue" w:eastAsiaTheme="majorEastAsia" w:hAnsi="Helvetica Neue" w:cs="Times New Roman (CS Başlıklar)"/>
      <w:b/>
      <w:bCs/>
      <w:color w:val="000000" w:themeColor="tex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C441C"/>
    <w:rPr>
      <w:rFonts w:ascii="Helvetica Neue" w:eastAsiaTheme="majorEastAsia" w:hAnsi="Helvetica Neue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rsid w:val="002C441C"/>
    <w:rPr>
      <w:rFonts w:ascii="Helvetica Neue" w:eastAsiaTheme="majorEastAsia" w:hAnsi="Helvetica Neue" w:cstheme="majorBidi"/>
      <w:b/>
      <w:i/>
      <w:iCs/>
      <w:color w:val="000000" w:themeColor="text1"/>
      <w:sz w:val="22"/>
    </w:rPr>
  </w:style>
  <w:style w:type="paragraph" w:styleId="GlAlnt">
    <w:name w:val="Intense Quote"/>
    <w:basedOn w:val="Normal"/>
    <w:next w:val="Normal"/>
    <w:link w:val="GlAlntChar"/>
    <w:autoRedefine/>
    <w:uiPriority w:val="30"/>
    <w:qFormat/>
    <w:rsid w:val="002C441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contextualSpacing/>
    </w:pPr>
    <w:rPr>
      <w:iCs/>
      <w:color w:val="222A35" w:themeColor="text2" w:themeShade="80"/>
    </w:rPr>
  </w:style>
  <w:style w:type="character" w:customStyle="1" w:styleId="GlAlntChar">
    <w:name w:val="Güçlü Alıntı Char"/>
    <w:basedOn w:val="VarsaylanParagrafYazTipi"/>
    <w:link w:val="GlAlnt"/>
    <w:uiPriority w:val="30"/>
    <w:rsid w:val="002C441C"/>
    <w:rPr>
      <w:rFonts w:ascii="Helvetica Neue" w:hAnsi="Helvetica Neue" w:cs="Times New Roman (CS Gövde)"/>
      <w:iCs/>
      <w:color w:val="222A35" w:themeColor="text2" w:themeShade="8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hepsilsanssun</dc:creator>
  <cp:keywords/>
  <dc:description/>
  <cp:lastModifiedBy>hepsilsanssun</cp:lastModifiedBy>
  <cp:revision>1</cp:revision>
  <dcterms:created xsi:type="dcterms:W3CDTF">2023-09-07T07:48:00Z</dcterms:created>
  <dcterms:modified xsi:type="dcterms:W3CDTF">2023-09-07T07:56:00Z</dcterms:modified>
</cp:coreProperties>
</file>